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1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1632"/>
        <w:gridCol w:w="1186"/>
        <w:gridCol w:w="2750"/>
        <w:gridCol w:w="561"/>
        <w:gridCol w:w="803"/>
        <w:gridCol w:w="410"/>
      </w:tblGrid>
      <w:tr w:rsidR="007511F6">
        <w:trPr>
          <w:trHeight w:val="140"/>
        </w:trPr>
        <w:tc>
          <w:tcPr>
            <w:tcW w:w="41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A743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7511F6" w:rsidRDefault="00A743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МУНИЦИПАЛЬНОГО ОБРАЗОВАНИЯ</w:t>
            </w:r>
          </w:p>
          <w:p w:rsidR="007511F6" w:rsidRDefault="00A743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ГОРОДСКОГО ОКРУГА</w:t>
            </w:r>
          </w:p>
          <w:p w:rsidR="007511F6" w:rsidRDefault="00A743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11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7511F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11F6" w:rsidRDefault="00751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A743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«УХТА»</w:t>
            </w:r>
          </w:p>
          <w:p w:rsidR="007511F6" w:rsidRDefault="00A743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КАР  КЫТШЛÖН</w:t>
            </w:r>
          </w:p>
          <w:p w:rsidR="007511F6" w:rsidRDefault="00A743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МУНИЦИПАЛЬНÖЙ  ЮКÖНСА</w:t>
            </w:r>
          </w:p>
          <w:p w:rsidR="007511F6" w:rsidRDefault="00A7434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511F6" w:rsidRDefault="007511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1F6">
        <w:trPr>
          <w:cantSplit/>
          <w:trHeight w:val="1054"/>
        </w:trPr>
        <w:tc>
          <w:tcPr>
            <w:tcW w:w="9889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A743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7511F6" w:rsidRDefault="00A743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7511F6">
        <w:trPr>
          <w:trHeight w:val="337"/>
        </w:trPr>
        <w:tc>
          <w:tcPr>
            <w:tcW w:w="25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511F6" w:rsidRDefault="00751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751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A7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511F6" w:rsidRDefault="00751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751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511F6">
        <w:tc>
          <w:tcPr>
            <w:tcW w:w="25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A7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г.Ухта,  Республика Коми</w:t>
            </w:r>
          </w:p>
        </w:tc>
        <w:tc>
          <w:tcPr>
            <w:tcW w:w="556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751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11F6" w:rsidRDefault="007511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11F6" w:rsidRDefault="007511F6"/>
    <w:p w:rsidR="007511F6" w:rsidRDefault="00A7434B">
      <w:pPr>
        <w:spacing w:before="24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11F6" w:rsidRDefault="00A743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7511F6" w:rsidRDefault="00A7434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подпись</w:t>
      </w:r>
    </w:p>
    <w:p w:rsidR="007511F6" w:rsidRDefault="00A7434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реестра источников доходов бюджета МОГО «Ух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та» </w:t>
      </w:r>
    </w:p>
    <w:p w:rsidR="007511F6" w:rsidRDefault="00751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6" w:rsidRDefault="00751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6" w:rsidRDefault="00A74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47.1 Бюджетного кодекса Российской Федерации,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 администрация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новляет:</w:t>
      </w:r>
    </w:p>
    <w:p w:rsidR="007511F6" w:rsidRDefault="00A7434B">
      <w:pPr>
        <w:pStyle w:val="af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формирования и ведения реестра источников доходов бюджета МОГО «Ухта»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511F6" w:rsidRDefault="00A7434B">
      <w:pPr>
        <w:pStyle w:val="af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следующие постановления администрации МОГО «Ухта»:</w:t>
      </w:r>
    </w:p>
    <w:p w:rsidR="007511F6" w:rsidRDefault="00A7434B">
      <w:pPr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от 4 декабря 2017 г. № 3928 «Об утверждении порядка формирования и ведения реестра источников доходов бюджета МОГО «Ухта»</w:t>
      </w:r>
      <w:r>
        <w:t>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2.2. от 03 февраля 2021 г. № 170 «О внесении изменений в постановление администрации МОГО «Ухта» от 04.12.2017 № 3928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дении порядка формирования и ведения реестра источников доходов бюджета МОГО «Ухта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7511F6" w:rsidRDefault="00A7434B">
      <w:pPr>
        <w:pStyle w:val="af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7511F6" w:rsidRDefault="00A7434B">
      <w:pPr>
        <w:pStyle w:val="af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511F6" w:rsidRDefault="0075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6" w:rsidRDefault="0075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6" w:rsidRDefault="00751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6" w:rsidRDefault="00A7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 «Ухта» -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</w:p>
    <w:p w:rsidR="007511F6" w:rsidRDefault="00A7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МОГО «Ухта»                                                      М.Н. Османов</w:t>
      </w:r>
    </w:p>
    <w:p w:rsidR="007511F6" w:rsidRDefault="00A743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Приложение</w:t>
      </w:r>
    </w:p>
    <w:p w:rsidR="007511F6" w:rsidRDefault="00A7434B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</w:t>
      </w:r>
      <w:r>
        <w:rPr>
          <w:rFonts w:ascii="Times New Roman" w:eastAsia="Times New Roman" w:hAnsi="Times New Roman" w:cs="Times New Roman"/>
          <w:sz w:val="28"/>
          <w:highlight w:val="white"/>
        </w:rPr>
        <w:t>Постановлению администрации МОГО «Ухта»</w:t>
      </w:r>
    </w:p>
    <w:p w:rsidR="007511F6" w:rsidRDefault="00A7434B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от                      2022 г.  № </w:t>
      </w:r>
    </w:p>
    <w:p w:rsidR="007511F6" w:rsidRDefault="00A7434B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7511F6" w:rsidRDefault="007511F6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6" w:rsidRDefault="00A7434B">
      <w:pPr>
        <w:pStyle w:val="afa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Порядок формирования и ведения реестра источников доходов бюджета МОГО «Ухта» </w:t>
      </w:r>
    </w:p>
    <w:p w:rsidR="007511F6" w:rsidRDefault="007511F6">
      <w:pPr>
        <w:pStyle w:val="afa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 и 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источников доходов бюджета МОГО «Ухта» (далее – реестр источников доходов бюджета).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 источников доходов бюджета представляет собой свод информации о доходах бюджета по источникам доходов бюджета МОГО «Ухта» (далее –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юджет), формируемый в процессе составления, утверждения и исполнения бюджета на основании перечня источников доходов Российской Федерации.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Реестр источников доходов бюджета формируется и ведется в электронной форме в муниципальной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муниципальными финансами МОГО «Ухта».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Реестр источников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highlight w:val="white"/>
        </w:rPr>
        <w:t>включая информацию, указанную в пункте 10 настоящего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государственном языке Российской Федерации.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 источников доходов бюджета</w:t>
      </w:r>
      <w:r>
        <w:rPr>
          <w:rFonts w:ascii="Times New Roman" w:eastAsia="Times New Roman" w:hAnsi="Times New Roman" w:cs="Times New Roman"/>
          <w:sz w:val="28"/>
          <w:highlight w:val="white"/>
        </w:rPr>
        <w:t>, включая инфор</w:t>
      </w:r>
      <w:r>
        <w:rPr>
          <w:rFonts w:ascii="Times New Roman" w:eastAsia="Times New Roman" w:hAnsi="Times New Roman" w:cs="Times New Roman"/>
          <w:sz w:val="28"/>
          <w:highlight w:val="white"/>
        </w:rPr>
        <w:t>мацию, указанную в пункте 10 настоящего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формировании и ведении реестра источников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бюджета в государственной информационной системе управления государственными финансами Республики Коми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(далее – электронные подписи), указанных в пункте 8 настоящего Порядка.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Реестр источников доходов бюджета ведется Финансовым управлением администрации МОГО «Ухта» (далее – Финансовое управление).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реестра источников доходов бюджета Финансовое управление, органы местного самоуправления МОГО «Ухта», отраслевые (функциональные) органы и структурные подразделения администрации МОГО «Ухта», иные организации, осуществляющие бюджетные 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главных администраторов доходов бюджета и (или) администраторов доходов бюджета,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бюджета (в случае, если указанные органы и организации не осуществляют бюджетных полномочий администраторов доходов бюджета), (далее –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ведения реестра источников доходов бюджета), обеспечивают предоставление информации, необходимой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ведения реестра источников доходов бюджета в соответствии с положениями настоящего Порядка.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Ответственность за полноту и достоверность информации, а также своевременность ее включения в реестры источников доходов бюджета несут участники процесса 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реестров источников доходов бюджета.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В реестры источников доходов бюджета в отношении каждого источника дохода бюджета включается следующая информация: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код (коды) классификации доходов бюджета,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в) наименование группы источников доходов бюджетов, в которую входит источник дохода бюджета, и ее идентификационный код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перечню источников доходов Российской Федерации;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г) информация о МОГО «Ухта», в доход бюджета которого зачисляются платежи, являющиеся источником дохода бюджета;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д) информация об органах местного самоуправления, отраслевых (функциональных) органах и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турных подразделениях администрации МОГО «Ухта», казенных учреждениях, иных организациях, осуществляющих бюджетные полномочия главных администраторов доходов бюджета;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ющему источнику дохода бюджета, сформированные в целях составления и утверждения решения о бюджете МОГО «Ухта» (далее – решение о бюджете);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</w:t>
      </w:r>
      <w:r>
        <w:rPr>
          <w:rFonts w:ascii="Times New Roman" w:eastAsia="Times New Roman" w:hAnsi="Times New Roman" w:cs="Times New Roman"/>
          <w:sz w:val="28"/>
          <w:szCs w:val="28"/>
        </w:rPr>
        <w:t>ета, принимающие значения прогнозируемого общего объема доходов бюджета в соответствии с решением о бюджете;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</w:t>
      </w:r>
      <w:r>
        <w:rPr>
          <w:rFonts w:ascii="Times New Roman" w:eastAsia="Times New Roman" w:hAnsi="Times New Roman" w:cs="Times New Roman"/>
          <w:sz w:val="28"/>
          <w:szCs w:val="28"/>
        </w:rPr>
        <w:t>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</w:t>
      </w:r>
      <w:r>
        <w:rPr>
          <w:rFonts w:ascii="Times New Roman" w:eastAsia="Times New Roman" w:hAnsi="Times New Roman" w:cs="Times New Roman"/>
          <w:sz w:val="28"/>
          <w:szCs w:val="28"/>
        </w:rPr>
        <w:t>ода бюджета, формируемые в рамках составления сведений для составления и ведения кассового плана исполнения бюджета;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показатели кассовых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м) иная информация, предусмотренная, предусмотренная порядком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ведения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реестре источников доходов бюджета также формируется сводная информация по группам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Российской Федерации.</w:t>
      </w:r>
    </w:p>
    <w:p w:rsidR="007511F6" w:rsidRDefault="00A7434B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Информация, указанная в подпунктах «а»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системой управления общественными финансами «Электронный бюджет», в которой осуществляется формирование и ведение перечня источников доходов Российской Федерации, и муниципальной информационной системой управления муниципальными финансами МОГО «У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хта», в которой осуществляется формирование и ведение реестра источников доходов бюджета.</w:t>
      </w:r>
    </w:p>
    <w:p w:rsidR="007511F6" w:rsidRDefault="00A7434B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Информация, указанная в подпунктах «е» и «и» пункта 10 настоящего Порядка,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ведется на основании прогнозов поступления доходов бюджета, информация, указанная в подпунктах «ж» и «з» пункта 10 настоящего Порядка, формируется и ведется на основании решения о бюджете.</w:t>
      </w:r>
    </w:p>
    <w:p w:rsidR="007511F6" w:rsidRDefault="00A7434B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Информация, указанная в подпункте «к» пункта 10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Финансовое управление обеспечивает включение в реестры источник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ов доходов бюджета информации, указанной в пункте 10 настоящего Порядка, в следующие сроки: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информации, указанной в подпунктах «а»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«д» пункта 10 настоящего Порядка, - незамедлительно, но не позднее одного рабочего дня со дня внесения указанной информа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ции в перечень источников доходов Российской Федерации, реестр источников доходов Российской Федерации;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б) информации, указанной в подпункте «ж», «з» и «л» пункта 10 настоящего Порядка, - не позднее 5 рабочих дней со дня принятия или внесения изменений в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ешение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и решение об исполнении бюджета;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информации, указанной в подпункте «и»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пункта 10 настоящего Порядка,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согласно установленному в соответствии с бюджетным законодательством порядку ведения прогноза доходов бюджета, но не позднее 10-го рабо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чего дня каждого месяца;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информации, указанной в подпунктах «е» и «м» пункта 10 настоящего Порядка, - в сроки, установленные в порядке ведения соответствующего реестра источников доходов бюджета;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информации, указанной в подпункте «к» пункта 10 настоя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щего Порядка, - 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дня каждого месяца.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управление, в целях ведения реестра источников доходов бюджета в течение одного рабочего дня со дня представления участником процесса ведения реестра источник</w:t>
      </w:r>
      <w:r>
        <w:rPr>
          <w:rFonts w:ascii="Times New Roman" w:eastAsia="Times New Roman" w:hAnsi="Times New Roman" w:cs="Times New Roman"/>
          <w:sz w:val="28"/>
          <w:szCs w:val="28"/>
        </w:rPr>
        <w:t>ов доходов бюджета информации, указанной в пункте 10 настоящего Порядка, обеспечивает в автоматизированном режиме проверку: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наличия информации в соответствии с пунктом 10 настоящего Порядка;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соответствия порядка формирования информации правилам,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новленным в соответствии с пунктом 21 настоящего Порядка;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соответствия информации иным нормам, установленным в порядке ведения реестра источников доходов бюджета (при наличии).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положительного результата проверки, указанной в пункте 16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 (за исключением реестра источников доходов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), которой Финансовое управление в соответствии с пунктом 7 настоящего Порядка, присваивает уникальный номер.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10  настоящего Порядка, р</w:t>
      </w:r>
      <w:r>
        <w:rPr>
          <w:rFonts w:ascii="Times New Roman" w:eastAsia="Times New Roman" w:hAnsi="Times New Roman" w:cs="Times New Roman"/>
          <w:sz w:val="28"/>
          <w:szCs w:val="28"/>
        </w:rPr>
        <w:t>анее образованные реестровые записи обновляются.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отрицательного результата проверки, указанной в пункте 16 настоящего Порядка, информация, представленная участником процесса ведения реестра источников доходов бюджета в соответствии с пунктом 10 на</w:t>
      </w:r>
      <w:r>
        <w:rPr>
          <w:rFonts w:ascii="Times New Roman" w:eastAsia="Times New Roman" w:hAnsi="Times New Roman" w:cs="Times New Roman"/>
          <w:sz w:val="28"/>
          <w:szCs w:val="28"/>
        </w:rPr>
        <w:t>стоящего Порядка, не образует (не обновляет) реестровые записи. В указанном случае Финансовое управление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отрицательном результате проверки посредством направления протокола, содержащего сведения о выявленных несоответствиях.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предусмотренного пунктом 17 настоящего Порядка протокола участник процесса ведения реестра источников доходов бю</w:t>
      </w:r>
      <w:r>
        <w:rPr>
          <w:rFonts w:ascii="Times New Roman" w:eastAsia="Times New Roman" w:hAnsi="Times New Roman" w:cs="Times New Roman"/>
          <w:sz w:val="28"/>
          <w:szCs w:val="28"/>
        </w:rPr>
        <w:t>джета не позднее 3 рабочих дней со дня получения указанного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Уникальный номер реестровой </w:t>
      </w:r>
      <w:r>
        <w:rPr>
          <w:rFonts w:ascii="Times New Roman" w:eastAsia="Times New Roman" w:hAnsi="Times New Roman" w:cs="Times New Roman"/>
          <w:sz w:val="28"/>
          <w:szCs w:val="28"/>
        </w:rPr>
        <w:t>записи источника дохода бюджета реестра источников доходов бюджета имеет следующую структуру: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1, 2, 3, 4, 5 разряды – коды группы дохода, подгруппы дохода и элемента дохода кода вида доходов бюджетов классификации доходов бюджета, соответствующие источнику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дохода бюджета;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7, 8, 9, 10, 11, 12, 13, 14, 15, 16, 17, 18, 19, </w:t>
      </w:r>
      <w:r>
        <w:rPr>
          <w:rFonts w:ascii="Times New Roman" w:eastAsia="Times New Roman" w:hAnsi="Times New Roman" w:cs="Times New Roman"/>
          <w:sz w:val="28"/>
          <w:szCs w:val="28"/>
        </w:rPr>
        <w:t>20, 21, 22, 23 разряды – идентификационный код источника дохода бюджета в соответствии с перечнем источников доходов Российской Федерации;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24 разряд – код признака назначения использования реестровой записи источника дохода бюджета реестра источников доход</w:t>
      </w:r>
      <w:r>
        <w:rPr>
          <w:rFonts w:ascii="Times New Roman" w:eastAsia="Times New Roman" w:hAnsi="Times New Roman" w:cs="Times New Roman"/>
          <w:sz w:val="28"/>
          <w:szCs w:val="28"/>
        </w:rPr>
        <w:t>ов бюджета, принимающий следующие значения: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 – действующий источник доходов;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0 – недействующий источник доходов, находящийся в архиве;</w:t>
      </w:r>
    </w:p>
    <w:p w:rsidR="007511F6" w:rsidRDefault="00A7434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25, 26 разряды – последние две цифры года формирования реестровой записи источника дохода бюджета реестра источников дох</w:t>
      </w:r>
      <w:r>
        <w:rPr>
          <w:rFonts w:ascii="Times New Roman" w:eastAsia="Times New Roman" w:hAnsi="Times New Roman" w:cs="Times New Roman"/>
          <w:sz w:val="28"/>
          <w:szCs w:val="28"/>
        </w:rPr>
        <w:t>одов бюджета;</w:t>
      </w:r>
    </w:p>
    <w:p w:rsidR="007511F6" w:rsidRDefault="00A7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27, 28, 29, 30 разряды – порядковый номер версии реестровой записи источника дохода бюджета реестра источников доходов бюджета.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Реестр источников доходов бюджета направляется в составе документов и материалов, представляемых 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решения о бюджете, в Совет МОГО «Ухта» по форме, утверждаемой Министерством финансов Республики Коми.</w:t>
      </w:r>
    </w:p>
    <w:p w:rsidR="007511F6" w:rsidRDefault="00A7434B">
      <w:pPr>
        <w:pStyle w:val="afa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информации, предусмотренной подпунктами «а» – «л» пункта 10 настоящего Порядка, для включения в реестр источников доходов бюдж</w:t>
      </w:r>
      <w:r>
        <w:rPr>
          <w:rFonts w:ascii="Times New Roman" w:eastAsia="Times New Roman" w:hAnsi="Times New Roman" w:cs="Times New Roman"/>
          <w:sz w:val="28"/>
          <w:szCs w:val="28"/>
        </w:rPr>
        <w:t>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г. № 658 «О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дарственной интегрированной информационной системе управления общественными финансами «Электронный бюджет».</w:t>
      </w:r>
    </w:p>
    <w:p w:rsidR="007511F6" w:rsidRDefault="007511F6">
      <w:pPr>
        <w:pStyle w:val="afa"/>
        <w:spacing w:after="0" w:line="240" w:lineRule="auto"/>
        <w:ind w:left="0" w:firstLine="567"/>
        <w:jc w:val="both"/>
      </w:pPr>
    </w:p>
    <w:p w:rsidR="007511F6" w:rsidRDefault="007511F6">
      <w:pPr>
        <w:pStyle w:val="af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51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4B" w:rsidRDefault="00A7434B">
      <w:pPr>
        <w:spacing w:after="0" w:line="240" w:lineRule="auto"/>
      </w:pPr>
      <w:r>
        <w:separator/>
      </w:r>
    </w:p>
  </w:endnote>
  <w:endnote w:type="continuationSeparator" w:id="0">
    <w:p w:rsidR="00A7434B" w:rsidRDefault="00A7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4B" w:rsidRDefault="00A7434B">
      <w:pPr>
        <w:spacing w:after="0" w:line="240" w:lineRule="auto"/>
      </w:pPr>
      <w:r>
        <w:separator/>
      </w:r>
    </w:p>
  </w:footnote>
  <w:footnote w:type="continuationSeparator" w:id="0">
    <w:p w:rsidR="00A7434B" w:rsidRDefault="00A7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82B"/>
    <w:multiLevelType w:val="multilevel"/>
    <w:tmpl w:val="0A1C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40142"/>
    <w:multiLevelType w:val="hybridMultilevel"/>
    <w:tmpl w:val="B9B4B69C"/>
    <w:lvl w:ilvl="0" w:tplc="FE12A73A">
      <w:start w:val="1"/>
      <w:numFmt w:val="decimal"/>
      <w:lvlText w:val="%1."/>
      <w:lvlJc w:val="left"/>
      <w:pPr>
        <w:ind w:left="1428" w:hanging="360"/>
      </w:pPr>
    </w:lvl>
    <w:lvl w:ilvl="1" w:tplc="0DD884B2">
      <w:start w:val="1"/>
      <w:numFmt w:val="lowerLetter"/>
      <w:lvlText w:val="%2."/>
      <w:lvlJc w:val="left"/>
      <w:pPr>
        <w:ind w:left="2148" w:hanging="360"/>
      </w:pPr>
    </w:lvl>
    <w:lvl w:ilvl="2" w:tplc="3FA04D38">
      <w:start w:val="1"/>
      <w:numFmt w:val="lowerRoman"/>
      <w:lvlText w:val="%3."/>
      <w:lvlJc w:val="right"/>
      <w:pPr>
        <w:ind w:left="2868" w:hanging="180"/>
      </w:pPr>
    </w:lvl>
    <w:lvl w:ilvl="3" w:tplc="F3440F2A">
      <w:start w:val="1"/>
      <w:numFmt w:val="decimal"/>
      <w:lvlText w:val="%4."/>
      <w:lvlJc w:val="left"/>
      <w:pPr>
        <w:ind w:left="3588" w:hanging="360"/>
      </w:pPr>
    </w:lvl>
    <w:lvl w:ilvl="4" w:tplc="FB441A7A">
      <w:start w:val="1"/>
      <w:numFmt w:val="lowerLetter"/>
      <w:lvlText w:val="%5."/>
      <w:lvlJc w:val="left"/>
      <w:pPr>
        <w:ind w:left="4308" w:hanging="360"/>
      </w:pPr>
    </w:lvl>
    <w:lvl w:ilvl="5" w:tplc="0B284976">
      <w:start w:val="1"/>
      <w:numFmt w:val="lowerRoman"/>
      <w:lvlText w:val="%6."/>
      <w:lvlJc w:val="right"/>
      <w:pPr>
        <w:ind w:left="5028" w:hanging="180"/>
      </w:pPr>
    </w:lvl>
    <w:lvl w:ilvl="6" w:tplc="A4B6822C">
      <w:start w:val="1"/>
      <w:numFmt w:val="decimal"/>
      <w:lvlText w:val="%7."/>
      <w:lvlJc w:val="left"/>
      <w:pPr>
        <w:ind w:left="5748" w:hanging="360"/>
      </w:pPr>
    </w:lvl>
    <w:lvl w:ilvl="7" w:tplc="57EA215A">
      <w:start w:val="1"/>
      <w:numFmt w:val="lowerLetter"/>
      <w:lvlText w:val="%8."/>
      <w:lvlJc w:val="left"/>
      <w:pPr>
        <w:ind w:left="6468" w:hanging="360"/>
      </w:pPr>
    </w:lvl>
    <w:lvl w:ilvl="8" w:tplc="D3DAD49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7665F6"/>
    <w:multiLevelType w:val="multilevel"/>
    <w:tmpl w:val="B8B68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74428"/>
    <w:multiLevelType w:val="multilevel"/>
    <w:tmpl w:val="7D3E5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57FDB"/>
    <w:multiLevelType w:val="multilevel"/>
    <w:tmpl w:val="066A8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57493"/>
    <w:multiLevelType w:val="hybridMultilevel"/>
    <w:tmpl w:val="FF96C8CA"/>
    <w:lvl w:ilvl="0" w:tplc="93F6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80404">
      <w:start w:val="1"/>
      <w:numFmt w:val="lowerLetter"/>
      <w:lvlText w:val="%2."/>
      <w:lvlJc w:val="left"/>
      <w:pPr>
        <w:ind w:left="1440" w:hanging="360"/>
      </w:pPr>
    </w:lvl>
    <w:lvl w:ilvl="2" w:tplc="50308FE0">
      <w:start w:val="1"/>
      <w:numFmt w:val="lowerRoman"/>
      <w:lvlText w:val="%3."/>
      <w:lvlJc w:val="right"/>
      <w:pPr>
        <w:ind w:left="2160" w:hanging="180"/>
      </w:pPr>
    </w:lvl>
    <w:lvl w:ilvl="3" w:tplc="EAE02A68">
      <w:start w:val="1"/>
      <w:numFmt w:val="decimal"/>
      <w:lvlText w:val="%4."/>
      <w:lvlJc w:val="left"/>
      <w:pPr>
        <w:ind w:left="2880" w:hanging="360"/>
      </w:pPr>
    </w:lvl>
    <w:lvl w:ilvl="4" w:tplc="48AC6714">
      <w:start w:val="1"/>
      <w:numFmt w:val="lowerLetter"/>
      <w:lvlText w:val="%5."/>
      <w:lvlJc w:val="left"/>
      <w:pPr>
        <w:ind w:left="3600" w:hanging="360"/>
      </w:pPr>
    </w:lvl>
    <w:lvl w:ilvl="5" w:tplc="C6E6E29A">
      <w:start w:val="1"/>
      <w:numFmt w:val="lowerRoman"/>
      <w:lvlText w:val="%6."/>
      <w:lvlJc w:val="right"/>
      <w:pPr>
        <w:ind w:left="4320" w:hanging="180"/>
      </w:pPr>
    </w:lvl>
    <w:lvl w:ilvl="6" w:tplc="E33AED1C">
      <w:start w:val="1"/>
      <w:numFmt w:val="decimal"/>
      <w:lvlText w:val="%7."/>
      <w:lvlJc w:val="left"/>
      <w:pPr>
        <w:ind w:left="5040" w:hanging="360"/>
      </w:pPr>
    </w:lvl>
    <w:lvl w:ilvl="7" w:tplc="148E0D9C">
      <w:start w:val="1"/>
      <w:numFmt w:val="lowerLetter"/>
      <w:lvlText w:val="%8."/>
      <w:lvlJc w:val="left"/>
      <w:pPr>
        <w:ind w:left="5760" w:hanging="360"/>
      </w:pPr>
    </w:lvl>
    <w:lvl w:ilvl="8" w:tplc="71A42D4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D67A1"/>
    <w:multiLevelType w:val="multilevel"/>
    <w:tmpl w:val="61187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AB7098"/>
    <w:multiLevelType w:val="hybridMultilevel"/>
    <w:tmpl w:val="9AD8DC5C"/>
    <w:lvl w:ilvl="0" w:tplc="5016C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B2E0F0C">
      <w:start w:val="1"/>
      <w:numFmt w:val="lowerLetter"/>
      <w:lvlText w:val="%2."/>
      <w:lvlJc w:val="left"/>
      <w:pPr>
        <w:ind w:left="1648" w:hanging="360"/>
      </w:pPr>
    </w:lvl>
    <w:lvl w:ilvl="2" w:tplc="8418FC30">
      <w:start w:val="1"/>
      <w:numFmt w:val="lowerRoman"/>
      <w:lvlText w:val="%3."/>
      <w:lvlJc w:val="right"/>
      <w:pPr>
        <w:ind w:left="2368" w:hanging="180"/>
      </w:pPr>
    </w:lvl>
    <w:lvl w:ilvl="3" w:tplc="85EAD846">
      <w:start w:val="1"/>
      <w:numFmt w:val="decimal"/>
      <w:lvlText w:val="%4."/>
      <w:lvlJc w:val="left"/>
      <w:pPr>
        <w:ind w:left="3088" w:hanging="360"/>
      </w:pPr>
    </w:lvl>
    <w:lvl w:ilvl="4" w:tplc="7BD406B6">
      <w:start w:val="1"/>
      <w:numFmt w:val="lowerLetter"/>
      <w:lvlText w:val="%5."/>
      <w:lvlJc w:val="left"/>
      <w:pPr>
        <w:ind w:left="3808" w:hanging="360"/>
      </w:pPr>
    </w:lvl>
    <w:lvl w:ilvl="5" w:tplc="C708FE46">
      <w:start w:val="1"/>
      <w:numFmt w:val="lowerRoman"/>
      <w:lvlText w:val="%6."/>
      <w:lvlJc w:val="right"/>
      <w:pPr>
        <w:ind w:left="4528" w:hanging="180"/>
      </w:pPr>
    </w:lvl>
    <w:lvl w:ilvl="6" w:tplc="74009730">
      <w:start w:val="1"/>
      <w:numFmt w:val="decimal"/>
      <w:lvlText w:val="%7."/>
      <w:lvlJc w:val="left"/>
      <w:pPr>
        <w:ind w:left="5248" w:hanging="360"/>
      </w:pPr>
    </w:lvl>
    <w:lvl w:ilvl="7" w:tplc="AEC8E110">
      <w:start w:val="1"/>
      <w:numFmt w:val="lowerLetter"/>
      <w:lvlText w:val="%8."/>
      <w:lvlJc w:val="left"/>
      <w:pPr>
        <w:ind w:left="5968" w:hanging="360"/>
      </w:pPr>
    </w:lvl>
    <w:lvl w:ilvl="8" w:tplc="E130702A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AA1951"/>
    <w:multiLevelType w:val="multilevel"/>
    <w:tmpl w:val="571E9A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401E81"/>
    <w:multiLevelType w:val="hybridMultilevel"/>
    <w:tmpl w:val="E6527BE6"/>
    <w:lvl w:ilvl="0" w:tplc="9522B0DA">
      <w:start w:val="1"/>
      <w:numFmt w:val="decimal"/>
      <w:lvlText w:val="%1."/>
      <w:lvlJc w:val="left"/>
      <w:pPr>
        <w:ind w:left="1429" w:hanging="360"/>
      </w:pPr>
    </w:lvl>
    <w:lvl w:ilvl="1" w:tplc="5186F4E2">
      <w:start w:val="1"/>
      <w:numFmt w:val="lowerLetter"/>
      <w:lvlText w:val="%2."/>
      <w:lvlJc w:val="left"/>
      <w:pPr>
        <w:ind w:left="2149" w:hanging="360"/>
      </w:pPr>
    </w:lvl>
    <w:lvl w:ilvl="2" w:tplc="032CE84E">
      <w:start w:val="1"/>
      <w:numFmt w:val="lowerRoman"/>
      <w:lvlText w:val="%3."/>
      <w:lvlJc w:val="right"/>
      <w:pPr>
        <w:ind w:left="2869" w:hanging="180"/>
      </w:pPr>
    </w:lvl>
    <w:lvl w:ilvl="3" w:tplc="85DCE1B0">
      <w:start w:val="1"/>
      <w:numFmt w:val="decimal"/>
      <w:lvlText w:val="%4."/>
      <w:lvlJc w:val="left"/>
      <w:pPr>
        <w:ind w:left="3589" w:hanging="360"/>
      </w:pPr>
    </w:lvl>
    <w:lvl w:ilvl="4" w:tplc="9A10C154">
      <w:start w:val="1"/>
      <w:numFmt w:val="lowerLetter"/>
      <w:lvlText w:val="%5."/>
      <w:lvlJc w:val="left"/>
      <w:pPr>
        <w:ind w:left="4309" w:hanging="360"/>
      </w:pPr>
    </w:lvl>
    <w:lvl w:ilvl="5" w:tplc="4DF29F90">
      <w:start w:val="1"/>
      <w:numFmt w:val="lowerRoman"/>
      <w:lvlText w:val="%6."/>
      <w:lvlJc w:val="right"/>
      <w:pPr>
        <w:ind w:left="5029" w:hanging="180"/>
      </w:pPr>
    </w:lvl>
    <w:lvl w:ilvl="6" w:tplc="DA6CE472">
      <w:start w:val="1"/>
      <w:numFmt w:val="decimal"/>
      <w:lvlText w:val="%7."/>
      <w:lvlJc w:val="left"/>
      <w:pPr>
        <w:ind w:left="5749" w:hanging="360"/>
      </w:pPr>
    </w:lvl>
    <w:lvl w:ilvl="7" w:tplc="753CE3C6">
      <w:start w:val="1"/>
      <w:numFmt w:val="lowerLetter"/>
      <w:lvlText w:val="%8."/>
      <w:lvlJc w:val="left"/>
      <w:pPr>
        <w:ind w:left="6469" w:hanging="360"/>
      </w:pPr>
    </w:lvl>
    <w:lvl w:ilvl="8" w:tplc="A0FC8E6E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07589A"/>
    <w:multiLevelType w:val="multilevel"/>
    <w:tmpl w:val="DD7C8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BE298B"/>
    <w:multiLevelType w:val="multilevel"/>
    <w:tmpl w:val="8048E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B2D7F"/>
    <w:multiLevelType w:val="multilevel"/>
    <w:tmpl w:val="503C5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673232"/>
    <w:multiLevelType w:val="multilevel"/>
    <w:tmpl w:val="9E745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6"/>
    <w:rsid w:val="007511F6"/>
    <w:rsid w:val="00821C50"/>
    <w:rsid w:val="00A7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E2AD-9B1B-4231-851C-5D3E820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2F79108-C3C1-45A5-A0BA-ED6BBB683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Юдачева Любовь Антоновна</cp:lastModifiedBy>
  <cp:revision>28</cp:revision>
  <dcterms:created xsi:type="dcterms:W3CDTF">2022-08-03T08:41:00Z</dcterms:created>
  <dcterms:modified xsi:type="dcterms:W3CDTF">2022-11-23T08:04:00Z</dcterms:modified>
</cp:coreProperties>
</file>